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C926" w14:textId="47B716F1" w:rsidR="00243682" w:rsidRPr="008D05A6" w:rsidRDefault="00243682" w:rsidP="006318B5">
      <w:pPr>
        <w:kinsoku w:val="0"/>
        <w:overflowPunct w:val="0"/>
        <w:jc w:val="center"/>
        <w:textAlignment w:val="baseline"/>
        <w:rPr>
          <w:rFonts w:ascii="Arial Narrow" w:hAnsi="Arial Narrow"/>
          <w:b/>
          <w:bCs/>
          <w:i/>
          <w:iCs/>
        </w:rPr>
      </w:pPr>
      <w:r w:rsidRPr="008D05A6">
        <w:rPr>
          <w:rFonts w:ascii="Arial Narrow" w:hAnsi="Arial Narrow"/>
          <w:b/>
          <w:bCs/>
          <w:i/>
          <w:iCs/>
        </w:rPr>
        <w:t>“SUMINISTROS TECNICOS PARA LA AGRICULTURA FAMILIAR CAMPESINA</w:t>
      </w:r>
      <w:r w:rsidR="00823BBF" w:rsidRPr="008D05A6">
        <w:rPr>
          <w:rFonts w:ascii="Arial Narrow" w:hAnsi="Arial Narrow"/>
          <w:b/>
          <w:bCs/>
          <w:i/>
          <w:iCs/>
        </w:rPr>
        <w:t xml:space="preserve"> 20</w:t>
      </w:r>
      <w:r w:rsidR="008D05A6" w:rsidRPr="008D05A6">
        <w:rPr>
          <w:rFonts w:ascii="Arial Narrow" w:hAnsi="Arial Narrow"/>
          <w:b/>
          <w:bCs/>
          <w:i/>
          <w:iCs/>
        </w:rPr>
        <w:t>22/</w:t>
      </w:r>
      <w:r w:rsidR="00823BBF" w:rsidRPr="008D05A6">
        <w:rPr>
          <w:rFonts w:ascii="Arial Narrow" w:hAnsi="Arial Narrow"/>
          <w:b/>
          <w:bCs/>
          <w:i/>
          <w:iCs/>
        </w:rPr>
        <w:t>20</w:t>
      </w:r>
      <w:r w:rsidR="008D05A6" w:rsidRPr="008D05A6">
        <w:rPr>
          <w:rFonts w:ascii="Arial Narrow" w:hAnsi="Arial Narrow"/>
          <w:b/>
          <w:bCs/>
          <w:i/>
          <w:iCs/>
        </w:rPr>
        <w:t>23</w:t>
      </w:r>
      <w:r w:rsidRPr="008D05A6">
        <w:rPr>
          <w:rFonts w:ascii="Arial Narrow" w:hAnsi="Arial Narrow"/>
          <w:b/>
          <w:bCs/>
          <w:i/>
          <w:iCs/>
        </w:rPr>
        <w:t>”</w:t>
      </w:r>
    </w:p>
    <w:p w14:paraId="5B01AEC3" w14:textId="77777777" w:rsidR="00243682" w:rsidRPr="00F92CFF" w:rsidRDefault="00243682" w:rsidP="00901A30">
      <w:pPr>
        <w:kinsoku w:val="0"/>
        <w:overflowPunct w:val="0"/>
        <w:jc w:val="both"/>
        <w:textAlignment w:val="baseline"/>
        <w:rPr>
          <w:rFonts w:ascii="Arial Narrow" w:hAnsi="Arial Narrow"/>
        </w:rPr>
      </w:pPr>
    </w:p>
    <w:p w14:paraId="6A9A67B2" w14:textId="77777777" w:rsidR="00901A30" w:rsidRPr="008D05A6" w:rsidRDefault="00901A30" w:rsidP="00901A30">
      <w:pPr>
        <w:kinsoku w:val="0"/>
        <w:overflowPunct w:val="0"/>
        <w:jc w:val="both"/>
        <w:textAlignment w:val="baseline"/>
        <w:rPr>
          <w:rFonts w:ascii="Arial Narrow" w:hAnsi="Arial Narrow"/>
          <w:b/>
          <w:bCs/>
        </w:rPr>
      </w:pPr>
      <w:r w:rsidRPr="008D05A6">
        <w:rPr>
          <w:rFonts w:ascii="Arial Narrow" w:hAnsi="Arial Narrow"/>
          <w:b/>
          <w:bCs/>
        </w:rPr>
        <w:t>PRESENTACION</w:t>
      </w:r>
    </w:p>
    <w:p w14:paraId="40891758" w14:textId="7F6FC2F5" w:rsidR="008874C0" w:rsidRPr="00F92CFF" w:rsidRDefault="001A1B85" w:rsidP="008874C0">
      <w:pPr>
        <w:kinsoku w:val="0"/>
        <w:overflowPunct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El Instituto de Desarrollo </w:t>
      </w:r>
      <w:r w:rsidR="008D05A6">
        <w:rPr>
          <w:rFonts w:ascii="Arial Narrow" w:hAnsi="Arial Narrow"/>
        </w:rPr>
        <w:t>Agropecuario (</w:t>
      </w:r>
      <w:r>
        <w:rPr>
          <w:rFonts w:ascii="Arial Narrow" w:hAnsi="Arial Narrow"/>
        </w:rPr>
        <w:t>INDAP)</w:t>
      </w:r>
      <w:r w:rsidRPr="00F92CFF">
        <w:rPr>
          <w:rFonts w:ascii="Arial Narrow" w:hAnsi="Arial Narrow"/>
        </w:rPr>
        <w:t xml:space="preserve">, con el objeto de contribuir al crecimiento y desarrollo de </w:t>
      </w:r>
      <w:r>
        <w:rPr>
          <w:rFonts w:ascii="Arial Narrow" w:hAnsi="Arial Narrow"/>
        </w:rPr>
        <w:t>lo</w:t>
      </w:r>
      <w:r w:rsidRPr="00F92CFF">
        <w:rPr>
          <w:rFonts w:ascii="Arial Narrow" w:hAnsi="Arial Narrow"/>
        </w:rPr>
        <w:t>s emprendimientos o negocios, individuales y asociativos</w:t>
      </w:r>
      <w:r>
        <w:rPr>
          <w:rFonts w:ascii="Arial Narrow" w:hAnsi="Arial Narrow"/>
        </w:rPr>
        <w:t xml:space="preserve"> de sus </w:t>
      </w:r>
      <w:proofErr w:type="gramStart"/>
      <w:r>
        <w:rPr>
          <w:rFonts w:ascii="Arial Narrow" w:hAnsi="Arial Narrow"/>
        </w:rPr>
        <w:t xml:space="preserve">usuarios, </w:t>
      </w:r>
      <w:r w:rsidRPr="00F92C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busca</w:t>
      </w:r>
      <w:proofErr w:type="gramEnd"/>
      <w:r>
        <w:rPr>
          <w:rFonts w:ascii="Arial Narrow" w:hAnsi="Arial Narrow"/>
        </w:rPr>
        <w:t xml:space="preserve"> </w:t>
      </w:r>
      <w:r w:rsidR="00901A30" w:rsidRPr="00F92CFF">
        <w:rPr>
          <w:rFonts w:ascii="Arial Narrow" w:hAnsi="Arial Narrow"/>
        </w:rPr>
        <w:t xml:space="preserve">facilitar el acceso de la Agricultura Familiar Campesina (AFC) a programas de financiamiento adecuados a </w:t>
      </w:r>
      <w:r>
        <w:rPr>
          <w:rFonts w:ascii="Arial Narrow" w:hAnsi="Arial Narrow"/>
        </w:rPr>
        <w:t>las</w:t>
      </w:r>
      <w:r w:rsidR="00901A30" w:rsidRPr="00F92CFF">
        <w:rPr>
          <w:rFonts w:ascii="Arial Narrow" w:hAnsi="Arial Narrow"/>
        </w:rPr>
        <w:t xml:space="preserve"> necesidades de capital de trabajo e inversiones</w:t>
      </w:r>
      <w:r w:rsidR="008874C0" w:rsidRPr="00F92CFF">
        <w:rPr>
          <w:rFonts w:ascii="Arial Narrow" w:hAnsi="Arial Narrow"/>
        </w:rPr>
        <w:t xml:space="preserve"> de </w:t>
      </w:r>
      <w:r w:rsidR="00144BBA">
        <w:rPr>
          <w:rFonts w:ascii="Arial Narrow" w:hAnsi="Arial Narrow"/>
        </w:rPr>
        <w:t>estos pequeños productores para sus explotaciones</w:t>
      </w:r>
      <w:r w:rsidR="00901A30" w:rsidRPr="00F92CFF">
        <w:rPr>
          <w:rFonts w:ascii="Arial Narrow" w:hAnsi="Arial Narrow"/>
        </w:rPr>
        <w:t xml:space="preserve">. </w:t>
      </w:r>
    </w:p>
    <w:p w14:paraId="66515239" w14:textId="77777777" w:rsidR="002C615C" w:rsidRPr="00F92CFF" w:rsidRDefault="006A2382" w:rsidP="008874C0">
      <w:pPr>
        <w:kinsoku w:val="0"/>
        <w:overflowPunct w:val="0"/>
        <w:jc w:val="both"/>
        <w:textAlignment w:val="baseline"/>
        <w:rPr>
          <w:rStyle w:val="Textoennegrita"/>
          <w:rFonts w:ascii="Arial Narrow" w:hAnsi="Arial Narrow" w:cs="Arial"/>
          <w:color w:val="999999"/>
          <w:bdr w:val="none" w:sz="0" w:space="0" w:color="auto" w:frame="1"/>
        </w:rPr>
      </w:pPr>
      <w:r w:rsidRPr="00F92CFF">
        <w:rPr>
          <w:rFonts w:ascii="Arial Narrow" w:hAnsi="Arial Narrow"/>
        </w:rPr>
        <w:t xml:space="preserve">Para </w:t>
      </w:r>
      <w:r w:rsidR="002C615C" w:rsidRPr="00F92CFF">
        <w:rPr>
          <w:rFonts w:ascii="Arial Narrow" w:hAnsi="Arial Narrow"/>
        </w:rPr>
        <w:t xml:space="preserve">apoyar </w:t>
      </w:r>
      <w:r w:rsidR="00A115CB" w:rsidRPr="00F92CFF">
        <w:rPr>
          <w:rFonts w:ascii="Arial Narrow" w:hAnsi="Arial Narrow"/>
        </w:rPr>
        <w:t>el aumento de la producción de los usuarios,</w:t>
      </w:r>
      <w:r w:rsidR="001A1B85">
        <w:rPr>
          <w:rFonts w:ascii="Arial Narrow" w:hAnsi="Arial Narrow"/>
        </w:rPr>
        <w:t xml:space="preserve"> así como</w:t>
      </w:r>
      <w:r w:rsidR="00A115CB" w:rsidRPr="00F92CFF">
        <w:rPr>
          <w:rFonts w:ascii="Arial Narrow" w:hAnsi="Arial Narrow"/>
        </w:rPr>
        <w:t xml:space="preserve"> </w:t>
      </w:r>
      <w:r w:rsidR="001A1B85">
        <w:rPr>
          <w:rFonts w:ascii="Arial Narrow" w:hAnsi="Arial Narrow"/>
        </w:rPr>
        <w:t xml:space="preserve">para promover </w:t>
      </w:r>
      <w:r w:rsidR="00A115CB" w:rsidRPr="00F92CFF">
        <w:rPr>
          <w:rFonts w:ascii="Arial Narrow" w:hAnsi="Arial Narrow"/>
        </w:rPr>
        <w:t xml:space="preserve">una mejor </w:t>
      </w:r>
      <w:r w:rsidR="00901A30" w:rsidRPr="00F92CFF">
        <w:rPr>
          <w:rFonts w:ascii="Arial Narrow" w:hAnsi="Arial Narrow"/>
        </w:rPr>
        <w:t>inserción comercial</w:t>
      </w:r>
      <w:r w:rsidR="001A1B85">
        <w:rPr>
          <w:rFonts w:ascii="Arial Narrow" w:hAnsi="Arial Narrow"/>
        </w:rPr>
        <w:t xml:space="preserve">, </w:t>
      </w:r>
      <w:r w:rsidR="001A1B85" w:rsidRPr="00F92CFF">
        <w:rPr>
          <w:rFonts w:ascii="Arial Narrow" w:hAnsi="Arial Narrow"/>
        </w:rPr>
        <w:t>se</w:t>
      </w:r>
      <w:r w:rsidR="00A115CB" w:rsidRPr="00F92CFF">
        <w:rPr>
          <w:rFonts w:ascii="Arial Narrow" w:hAnsi="Arial Narrow"/>
        </w:rPr>
        <w:t xml:space="preserve"> ha previsto el uso de la </w:t>
      </w:r>
      <w:r w:rsidR="001A1B85">
        <w:rPr>
          <w:rFonts w:ascii="Arial Narrow" w:hAnsi="Arial Narrow"/>
        </w:rPr>
        <w:t>“</w:t>
      </w:r>
      <w:r w:rsidR="00A115CB" w:rsidRPr="008D05A6">
        <w:rPr>
          <w:rFonts w:ascii="Arial Narrow" w:hAnsi="Arial Narrow"/>
          <w:i/>
          <w:iCs/>
        </w:rPr>
        <w:t>Ficha</w:t>
      </w:r>
      <w:r w:rsidR="009833FC" w:rsidRPr="008D05A6">
        <w:rPr>
          <w:rFonts w:ascii="Arial Narrow" w:hAnsi="Arial Narrow"/>
          <w:i/>
          <w:iCs/>
        </w:rPr>
        <w:t xml:space="preserve"> Técnica</w:t>
      </w:r>
      <w:r w:rsidR="001A1B85" w:rsidRPr="008D05A6">
        <w:rPr>
          <w:rFonts w:ascii="Arial Narrow" w:hAnsi="Arial Narrow"/>
          <w:i/>
          <w:iCs/>
        </w:rPr>
        <w:t>”</w:t>
      </w:r>
      <w:r w:rsidR="009833FC" w:rsidRPr="008D05A6">
        <w:rPr>
          <w:rFonts w:ascii="Arial Narrow" w:hAnsi="Arial Narrow"/>
          <w:i/>
          <w:iCs/>
        </w:rPr>
        <w:t>,</w:t>
      </w:r>
      <w:r w:rsidR="009833FC" w:rsidRPr="00F92CFF">
        <w:rPr>
          <w:rFonts w:ascii="Arial Narrow" w:hAnsi="Arial Narrow"/>
        </w:rPr>
        <w:t xml:space="preserve"> </w:t>
      </w:r>
      <w:r w:rsidR="001A1B85" w:rsidRPr="00F92CFF">
        <w:rPr>
          <w:rFonts w:ascii="Arial Narrow" w:hAnsi="Arial Narrow"/>
        </w:rPr>
        <w:t xml:space="preserve">herramienta </w:t>
      </w:r>
      <w:r w:rsidR="001A1B85">
        <w:rPr>
          <w:rFonts w:ascii="Arial Narrow" w:hAnsi="Arial Narrow"/>
        </w:rPr>
        <w:t xml:space="preserve">que corresponde a un standard (por hectárea, </w:t>
      </w:r>
      <w:r w:rsidR="00F92CFF">
        <w:rPr>
          <w:rFonts w:ascii="Arial Narrow" w:hAnsi="Arial Narrow"/>
        </w:rPr>
        <w:t xml:space="preserve">en formato Excel) </w:t>
      </w:r>
      <w:r w:rsidR="002C615C" w:rsidRPr="00F92CFF">
        <w:rPr>
          <w:rFonts w:ascii="Arial Narrow" w:hAnsi="Arial Narrow"/>
        </w:rPr>
        <w:t>que</w:t>
      </w:r>
      <w:r w:rsidR="001A1B85">
        <w:rPr>
          <w:rFonts w:ascii="Arial Narrow" w:hAnsi="Arial Narrow"/>
        </w:rPr>
        <w:t xml:space="preserve"> contiene el detalle de los costos directos</w:t>
      </w:r>
      <w:r w:rsidR="002C615C" w:rsidRPr="00F92CFF">
        <w:rPr>
          <w:rFonts w:ascii="Arial Narrow" w:hAnsi="Arial Narrow"/>
        </w:rPr>
        <w:t xml:space="preserve"> </w:t>
      </w:r>
      <w:r w:rsidR="001A1B85">
        <w:rPr>
          <w:rFonts w:ascii="Arial Narrow" w:hAnsi="Arial Narrow"/>
        </w:rPr>
        <w:t xml:space="preserve">de producción e ingresos esperados de un cultivo o rubro determinado, conforme a las labores para la temporada y considerando tecnologías representativas de los productores </w:t>
      </w:r>
      <w:r w:rsidR="00144BBA">
        <w:rPr>
          <w:rFonts w:ascii="Arial Narrow" w:hAnsi="Arial Narrow"/>
        </w:rPr>
        <w:t xml:space="preserve">en </w:t>
      </w:r>
      <w:r w:rsidR="001A1B85">
        <w:rPr>
          <w:rFonts w:ascii="Arial Narrow" w:hAnsi="Arial Narrow"/>
        </w:rPr>
        <w:t>un determinado territorio.</w:t>
      </w:r>
      <w:r w:rsidR="002C615C" w:rsidRPr="00F92CFF">
        <w:rPr>
          <w:rStyle w:val="Textoennegrita"/>
          <w:rFonts w:ascii="Arial Narrow" w:hAnsi="Arial Narrow" w:cs="Arial"/>
          <w:color w:val="999999"/>
          <w:bdr w:val="none" w:sz="0" w:space="0" w:color="auto" w:frame="1"/>
        </w:rPr>
        <w:t xml:space="preserve"> </w:t>
      </w:r>
    </w:p>
    <w:p w14:paraId="58CC4AF1" w14:textId="270352AE" w:rsidR="00901A30" w:rsidRPr="00F92CFF" w:rsidRDefault="001A1B85" w:rsidP="008874C0">
      <w:pPr>
        <w:kinsoku w:val="0"/>
        <w:overflowPunct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Con la información de las Fichas Técnicas, se busca también incentivar el d</w:t>
      </w:r>
      <w:r w:rsidR="00901A30" w:rsidRPr="00F92CFF">
        <w:rPr>
          <w:rFonts w:ascii="Arial Narrow" w:hAnsi="Arial Narrow"/>
        </w:rPr>
        <w:t xml:space="preserve">iálogo entre los profesionales de INDAP, los pequeños productores y otras entidades financieras, para los efectos de una mejor planeación de la actividad productiva de </w:t>
      </w:r>
      <w:r w:rsidR="002C615C" w:rsidRPr="00F92CFF">
        <w:rPr>
          <w:rFonts w:ascii="Arial Narrow" w:hAnsi="Arial Narrow"/>
        </w:rPr>
        <w:t>los</w:t>
      </w:r>
      <w:r w:rsidR="00901A30" w:rsidRPr="00F92CFF">
        <w:rPr>
          <w:rFonts w:ascii="Arial Narrow" w:hAnsi="Arial Narrow"/>
        </w:rPr>
        <w:t xml:space="preserve"> usuarios</w:t>
      </w:r>
      <w:r w:rsidR="002C615C" w:rsidRPr="00F92CFF">
        <w:rPr>
          <w:rFonts w:ascii="Arial Narrow" w:hAnsi="Arial Narrow"/>
        </w:rPr>
        <w:t xml:space="preserve"> de INDAP</w:t>
      </w:r>
      <w:r w:rsidR="00901A30" w:rsidRPr="00F92CFF">
        <w:rPr>
          <w:rFonts w:ascii="Arial Narrow" w:hAnsi="Arial Narrow"/>
        </w:rPr>
        <w:t>. En la elaboración de estas Fichas Técnicas, han participado los profesionales de INDAP de la</w:t>
      </w:r>
      <w:r w:rsidR="002C615C" w:rsidRPr="00F92CFF">
        <w:rPr>
          <w:rFonts w:ascii="Arial Narrow" w:hAnsi="Arial Narrow"/>
        </w:rPr>
        <w:t>s 1</w:t>
      </w:r>
      <w:r w:rsidR="008D05A6">
        <w:rPr>
          <w:rFonts w:ascii="Arial Narrow" w:hAnsi="Arial Narrow"/>
        </w:rPr>
        <w:t>6</w:t>
      </w:r>
      <w:r w:rsidR="002C615C" w:rsidRPr="00F92CFF">
        <w:rPr>
          <w:rFonts w:ascii="Arial Narrow" w:hAnsi="Arial Narrow"/>
        </w:rPr>
        <w:t xml:space="preserve"> Regiones de INDAP</w:t>
      </w:r>
      <w:r w:rsidR="00A5399E" w:rsidRPr="00F92CFF">
        <w:rPr>
          <w:rFonts w:ascii="Arial Narrow" w:hAnsi="Arial Narrow"/>
        </w:rPr>
        <w:t>, seleccionando</w:t>
      </w:r>
      <w:r w:rsidR="00901A30" w:rsidRPr="00F92CFF">
        <w:rPr>
          <w:rFonts w:ascii="Arial Narrow" w:hAnsi="Arial Narrow"/>
        </w:rPr>
        <w:t xml:space="preserve"> aquellos rubros productivos que se financian, principalmente, con crédito. </w:t>
      </w:r>
      <w:r w:rsidR="00A5399E" w:rsidRPr="00F92CFF">
        <w:rPr>
          <w:rFonts w:ascii="Arial Narrow" w:hAnsi="Arial Narrow"/>
        </w:rPr>
        <w:t xml:space="preserve">Las </w:t>
      </w:r>
      <w:r w:rsidR="00901A30" w:rsidRPr="00F92CFF">
        <w:rPr>
          <w:rFonts w:ascii="Arial Narrow" w:hAnsi="Arial Narrow"/>
        </w:rPr>
        <w:t xml:space="preserve">Fichas Técnicas consideran en su diseño los atributos particulares de cada territorio, la realidad agroclimática, las vocaciones productivas, las características de los mercados locales y las disponibilidades de recursos físicos y financieros específicos de los usuarios, todos los cuales constituyen elementos de base para la producción agrícola. </w:t>
      </w:r>
      <w:r w:rsidR="00A5399E" w:rsidRPr="00F92CFF">
        <w:rPr>
          <w:rFonts w:ascii="Arial Narrow" w:hAnsi="Arial Narrow"/>
        </w:rPr>
        <w:t xml:space="preserve">Se espera </w:t>
      </w:r>
      <w:r w:rsidR="00447CDD">
        <w:rPr>
          <w:rFonts w:ascii="Arial Narrow" w:hAnsi="Arial Narrow"/>
        </w:rPr>
        <w:t>a</w:t>
      </w:r>
      <w:r w:rsidR="00A5399E" w:rsidRPr="00F92CFF">
        <w:rPr>
          <w:rFonts w:ascii="Arial Narrow" w:hAnsi="Arial Narrow"/>
        </w:rPr>
        <w:t>sí que lo</w:t>
      </w:r>
      <w:r w:rsidR="00901A30" w:rsidRPr="00F92CFF">
        <w:rPr>
          <w:rFonts w:ascii="Arial Narrow" w:hAnsi="Arial Narrow"/>
        </w:rPr>
        <w:t xml:space="preserve">s usuarios </w:t>
      </w:r>
      <w:r>
        <w:rPr>
          <w:rFonts w:ascii="Arial Narrow" w:hAnsi="Arial Narrow"/>
        </w:rPr>
        <w:t xml:space="preserve">no sólo </w:t>
      </w:r>
      <w:r w:rsidR="00447CDD">
        <w:rPr>
          <w:rFonts w:ascii="Arial Narrow" w:hAnsi="Arial Narrow"/>
        </w:rPr>
        <w:t>mejoren su producción, sino también que v</w:t>
      </w:r>
      <w:r w:rsidR="00901A30" w:rsidRPr="00F92CFF">
        <w:rPr>
          <w:rFonts w:ascii="Arial Narrow" w:hAnsi="Arial Narrow"/>
        </w:rPr>
        <w:t xml:space="preserve">ayan incorporando progresivamente nuevas tecnologías a sus procesos de producción, generando valor y creando nuevos productos, insertándose así en el proceso de desarrollo del sector agroalimentario nacional. </w:t>
      </w:r>
    </w:p>
    <w:p w14:paraId="3063F185" w14:textId="77777777" w:rsidR="008874C0" w:rsidRPr="00F92CFF" w:rsidRDefault="008874C0" w:rsidP="00901A30">
      <w:pPr>
        <w:kinsoku w:val="0"/>
        <w:overflowPunct w:val="0"/>
        <w:jc w:val="both"/>
        <w:textAlignment w:val="baseline"/>
        <w:rPr>
          <w:rFonts w:ascii="Arial Narrow" w:eastAsiaTheme="minorEastAsia" w:hAnsi="Arial Narrow"/>
          <w:color w:val="000000" w:themeColor="text1"/>
        </w:rPr>
      </w:pPr>
    </w:p>
    <w:p w14:paraId="0535395C" w14:textId="77777777" w:rsidR="00901A30" w:rsidRPr="008D05A6" w:rsidRDefault="00901A30" w:rsidP="00901A30">
      <w:pPr>
        <w:kinsoku w:val="0"/>
        <w:overflowPunct w:val="0"/>
        <w:jc w:val="both"/>
        <w:textAlignment w:val="baseline"/>
        <w:rPr>
          <w:rFonts w:ascii="Arial Narrow" w:eastAsia="Times New Roman" w:hAnsi="Arial Narrow" w:cs="Times New Roman"/>
          <w:b/>
          <w:bCs/>
        </w:rPr>
      </w:pPr>
      <w:r w:rsidRPr="008D05A6">
        <w:rPr>
          <w:rFonts w:ascii="Arial Narrow" w:hAnsi="Arial Narrow"/>
          <w:b/>
          <w:bCs/>
        </w:rPr>
        <w:t>OBJETIVOS</w:t>
      </w:r>
      <w:r w:rsidR="00243682" w:rsidRPr="008D05A6">
        <w:rPr>
          <w:rFonts w:ascii="Arial Narrow" w:hAnsi="Arial Narrow"/>
          <w:b/>
          <w:bCs/>
        </w:rPr>
        <w:t xml:space="preserve"> DE LAS FICHAS TECNICAS</w:t>
      </w:r>
    </w:p>
    <w:p w14:paraId="65E6412E" w14:textId="6E241856" w:rsidR="00901A30" w:rsidRPr="00F92CFF" w:rsidRDefault="00243682" w:rsidP="00901A30">
      <w:pPr>
        <w:pStyle w:val="Prrafodelista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Aportar a la </w:t>
      </w:r>
      <w:r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 xml:space="preserve">generación de </w:t>
      </w:r>
      <w:r w:rsidR="00901A30"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 xml:space="preserve">un sistema de información </w:t>
      </w:r>
      <w:r w:rsidR="008D05A6"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>de Costos</w:t>
      </w:r>
      <w:r w:rsidR="00901A30"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 xml:space="preserve"> e Ingresos (</w:t>
      </w:r>
      <w:r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>V</w:t>
      </w:r>
      <w:r w:rsidR="00901A30"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>entas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) de </w:t>
      </w:r>
      <w:r w:rsidR="008D05A6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cultivos y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rubros sujeto de Créditos, necesari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o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para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mejorar </w:t>
      </w:r>
      <w:r w:rsidR="00144BBA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favorecer la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gestión del negocio de los usuarios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de INDAP</w:t>
      </w:r>
    </w:p>
    <w:p w14:paraId="4D5F7BD8" w14:textId="77777777" w:rsidR="00901A30" w:rsidRPr="00F92CFF" w:rsidRDefault="00901A30" w:rsidP="00901A30">
      <w:pPr>
        <w:pStyle w:val="Prrafodelista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Contribuir a </w:t>
      </w:r>
      <w:r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>enriquecer el diálogo entre los profesionales de INDAP, los pequeños productores y otras entidades financieras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para los efectos de una mejor planeación de la actividad productiv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a de los usuarios de INDAP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. </w:t>
      </w:r>
    </w:p>
    <w:p w14:paraId="631EEA27" w14:textId="77777777" w:rsidR="00901A30" w:rsidRPr="00F92CFF" w:rsidRDefault="00901A30" w:rsidP="00901A30">
      <w:pPr>
        <w:pStyle w:val="Prrafodelista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Cumplir con la “</w:t>
      </w:r>
      <w:r w:rsidRPr="008D05A6">
        <w:rPr>
          <w:rFonts w:ascii="Arial Narrow" w:eastAsiaTheme="minorEastAsia" w:hAnsi="Arial Narrow" w:cstheme="minorBidi"/>
          <w:i/>
          <w:iCs/>
          <w:color w:val="000000" w:themeColor="text1"/>
          <w:sz w:val="22"/>
          <w:szCs w:val="22"/>
        </w:rPr>
        <w:t>Norma de Crédito del INDAP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”, la que exige que 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su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s profesionales consideren los 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datos de producción, costos e ingresos, contenidos en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las Fichas Técnicas en el momento de recibir una solicitud de Crédito </w:t>
      </w:r>
    </w:p>
    <w:p w14:paraId="3409CE75" w14:textId="77777777" w:rsidR="00901A30" w:rsidRPr="00F92CFF" w:rsidRDefault="00901A30" w:rsidP="00901A30">
      <w:pPr>
        <w:pStyle w:val="Prrafodelista"/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774234BE" w14:textId="77777777" w:rsidR="00901A30" w:rsidRPr="008D05A6" w:rsidRDefault="00901A30" w:rsidP="00901A30">
      <w:pPr>
        <w:kinsoku w:val="0"/>
        <w:overflowPunct w:val="0"/>
        <w:jc w:val="both"/>
        <w:textAlignment w:val="baseline"/>
        <w:rPr>
          <w:rFonts w:ascii="Arial Narrow" w:hAnsi="Arial Narrow"/>
          <w:b/>
          <w:bCs/>
        </w:rPr>
      </w:pPr>
      <w:r w:rsidRPr="008D05A6">
        <w:rPr>
          <w:rFonts w:ascii="Arial Narrow" w:hAnsi="Arial Narrow"/>
          <w:b/>
          <w:bCs/>
        </w:rPr>
        <w:t>CONTENIDOS</w:t>
      </w:r>
      <w:r w:rsidR="008874C0" w:rsidRPr="008D05A6">
        <w:rPr>
          <w:rFonts w:ascii="Arial Narrow" w:hAnsi="Arial Narrow"/>
          <w:b/>
          <w:bCs/>
        </w:rPr>
        <w:t xml:space="preserve"> DE LAS FICHAS TECNICAS</w:t>
      </w:r>
    </w:p>
    <w:p w14:paraId="41EE5FD9" w14:textId="4F27458C" w:rsidR="00901A30" w:rsidRPr="00F92CFF" w:rsidRDefault="00901A30" w:rsidP="00901A30">
      <w:pPr>
        <w:pStyle w:val="Prrafodelista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Están referidas a diferentes cultivos anuales, cultivos </w:t>
      </w:r>
      <w:r w:rsidR="008D05A6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permanentes (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al aire libre y producción forzada) y rubros pecuarios </w:t>
      </w:r>
    </w:p>
    <w:p w14:paraId="70DFE75D" w14:textId="77777777" w:rsidR="00901A30" w:rsidRPr="00F92CFF" w:rsidRDefault="00901A30" w:rsidP="00901A30">
      <w:pPr>
        <w:pStyle w:val="Prrafodelista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Los Cultivos anuales incluyen hortalizas, cereales, chacras, papas, entre los principales. Los Cultivos permanentes incluyen frutales de carozo, pomáceas y viñas (uva de mesa, viníferas y pisqueras)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entre los principales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.</w:t>
      </w:r>
    </w:p>
    <w:p w14:paraId="58BBCB54" w14:textId="77777777" w:rsidR="00901A30" w:rsidRPr="00F92CFF" w:rsidRDefault="00901A30" w:rsidP="00901A30">
      <w:pPr>
        <w:pStyle w:val="Prrafodelista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Los rubros pecuarios incluyen (i): ganadería mayor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: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bovinos (</w:t>
      </w:r>
      <w:r w:rsidR="00243682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doble propósito principalmente)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ovinos y caprinos, (ii): ganadería menor (cerdos, aves) y (iii): apicultura</w:t>
      </w:r>
    </w:p>
    <w:p w14:paraId="377428C3" w14:textId="397351BE" w:rsidR="00901A30" w:rsidRPr="00F92CFF" w:rsidRDefault="00901A30" w:rsidP="00901A30">
      <w:pPr>
        <w:pStyle w:val="Prrafodelista"/>
        <w:numPr>
          <w:ilvl w:val="0"/>
          <w:numId w:val="2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lastRenderedPageBreak/>
        <w:t>Las Fichas Técnicas, para la temporada 20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22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/20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23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alcanzan aproximadamente a unas 1.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5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00 Fichas, estando concentradas entre la Región de Valparaíso y la Región de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la Araucanía.</w:t>
      </w:r>
    </w:p>
    <w:p w14:paraId="7E4C931C" w14:textId="77777777" w:rsidR="00243682" w:rsidRPr="00F92CFF" w:rsidRDefault="00243682" w:rsidP="00243682">
      <w:pPr>
        <w:pStyle w:val="Prrafodelista"/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5AB483F2" w14:textId="77777777" w:rsidR="00901A30" w:rsidRPr="008D05A6" w:rsidRDefault="008874C0" w:rsidP="00901A30">
      <w:pPr>
        <w:kinsoku w:val="0"/>
        <w:overflowPunct w:val="0"/>
        <w:jc w:val="both"/>
        <w:textAlignment w:val="baseline"/>
        <w:rPr>
          <w:rFonts w:ascii="Arial Narrow" w:eastAsiaTheme="majorEastAsia" w:hAnsi="Arial Narrow" w:cstheme="majorBidi"/>
          <w:b/>
          <w:bCs/>
        </w:rPr>
      </w:pPr>
      <w:r w:rsidRPr="008D05A6">
        <w:rPr>
          <w:rFonts w:ascii="Arial Narrow" w:eastAsiaTheme="majorEastAsia" w:hAnsi="Arial Narrow" w:cstheme="majorBidi"/>
          <w:b/>
          <w:bCs/>
        </w:rPr>
        <w:t>ESPECIFI</w:t>
      </w:r>
      <w:r w:rsidR="00243682" w:rsidRPr="008D05A6">
        <w:rPr>
          <w:rFonts w:ascii="Arial Narrow" w:eastAsiaTheme="majorEastAsia" w:hAnsi="Arial Narrow" w:cstheme="majorBidi"/>
          <w:b/>
          <w:bCs/>
        </w:rPr>
        <w:t>CACIONES DE LAS FICHAS TECNICAS</w:t>
      </w:r>
    </w:p>
    <w:p w14:paraId="5A36AE9C" w14:textId="66571BC3" w:rsidR="00823BBF" w:rsidRPr="00823BBF" w:rsidRDefault="00823BBF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Las Fichas Técnicas están referidas a la temporada </w:t>
      </w:r>
      <w:r w:rsidR="0044625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agrícola 2022</w:t>
      </w: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/20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23</w:t>
      </w:r>
    </w:p>
    <w:p w14:paraId="7ED56C63" w14:textId="77777777" w:rsidR="00901A30" w:rsidRPr="00F92CFF" w:rsidRDefault="00144BBA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Las Fichas t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ienen 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la característica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de que los antecedentes de 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ingresos (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ventas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)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y costos (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de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insumos, J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ornadas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H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ombre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J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ornadas Animal y Jornadas Maquinaria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entre otros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),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de los diferentes cultivos y rubros, </w:t>
      </w: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se han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recogido en el territorio de cada una de las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Agencias de Área de las Regiones</w:t>
      </w:r>
    </w:p>
    <w:p w14:paraId="5CAC0A60" w14:textId="77777777" w:rsidR="00211A30" w:rsidRPr="00211A30" w:rsidRDefault="00211A30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</w:t>
      </w:r>
      <w:r w:rsidR="00144BBA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o</w:t>
      </w: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s datos de las Fichas se expresan en h</w:t>
      </w:r>
      <w:r w:rsidR="00144BBA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ectáreas</w:t>
      </w:r>
      <w:r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 físicas y los costos e ingresos incluyen el IVA</w:t>
      </w:r>
    </w:p>
    <w:p w14:paraId="4F16DAD1" w14:textId="77777777" w:rsidR="00901A30" w:rsidRPr="00F92CFF" w:rsidRDefault="008874C0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Consideran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la realidad agroecológica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y de mercados (de insumos y productos) </w:t>
      </w:r>
      <w:r w:rsidR="00901A3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de cada territorio. </w:t>
      </w:r>
    </w:p>
    <w:p w14:paraId="3AD56AE1" w14:textId="77777777" w:rsidR="008874C0" w:rsidRPr="00F92CFF" w:rsidRDefault="008874C0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Para determinados cultivos y rubros, las Fichas Técnicas recogen el nivel tecnológico 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que sustentan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los usuarios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en su explotación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.</w:t>
      </w:r>
    </w:p>
    <w:p w14:paraId="2872033F" w14:textId="77777777" w:rsidR="00901A30" w:rsidRPr="00F92CFF" w:rsidRDefault="00901A30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Cada Ficha Técnica, cuenta con la aprobación técnica y económica del Encargado Regional de Asistencia Financiera y Jefe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de la Agencia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de Área respectiv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a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. </w:t>
      </w:r>
    </w:p>
    <w:p w14:paraId="38F342A2" w14:textId="560FA59D" w:rsidR="00901A30" w:rsidRPr="00F92CFF" w:rsidRDefault="00901A30" w:rsidP="00901A30">
      <w:pPr>
        <w:pStyle w:val="Prrafodelista"/>
        <w:numPr>
          <w:ilvl w:val="0"/>
          <w:numId w:val="3"/>
        </w:numPr>
        <w:kinsoku w:val="0"/>
        <w:overflowPunct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Las Fichas Técnicas se publican en la web desde 201</w:t>
      </w:r>
      <w:r w:rsidR="008D05A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7, 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en formato Excel (con fórmula para facilitar su uso). Cuentan 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con Registro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de Propiedad Intelectual de DDI de la DIBAM y son consultadas por profesionales de INDAP y de otras instituciones públicas</w:t>
      </w:r>
      <w:r w:rsidR="00581506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 xml:space="preserve"> y privadas</w:t>
      </w:r>
      <w:r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, así como por estudiantes universitarios</w:t>
      </w:r>
      <w:r w:rsidR="008874C0" w:rsidRPr="00F92CFF">
        <w:rPr>
          <w:rFonts w:ascii="Arial Narrow" w:eastAsiaTheme="minorEastAsia" w:hAnsi="Arial Narrow" w:cstheme="minorBidi"/>
          <w:color w:val="000000" w:themeColor="text1"/>
          <w:sz w:val="22"/>
          <w:szCs w:val="22"/>
        </w:rPr>
        <w:t>.</w:t>
      </w:r>
    </w:p>
    <w:p w14:paraId="675003E9" w14:textId="77777777" w:rsidR="00901A30" w:rsidRPr="00F92CFF" w:rsidRDefault="00901A30" w:rsidP="00901A30">
      <w:pPr>
        <w:kinsoku w:val="0"/>
        <w:overflowPunct w:val="0"/>
        <w:jc w:val="both"/>
        <w:textAlignment w:val="baseline"/>
        <w:rPr>
          <w:rFonts w:ascii="Arial Narrow" w:hAnsi="Arial Narrow"/>
        </w:rPr>
      </w:pPr>
    </w:p>
    <w:p w14:paraId="03B2F14B" w14:textId="77777777" w:rsidR="00901A30" w:rsidRPr="00F92CFF" w:rsidRDefault="00901A30" w:rsidP="00901A30">
      <w:pPr>
        <w:kinsoku w:val="0"/>
        <w:overflowPunct w:val="0"/>
        <w:jc w:val="both"/>
        <w:textAlignment w:val="baseline"/>
        <w:rPr>
          <w:rFonts w:ascii="Arial Narrow" w:hAnsi="Arial Narrow"/>
        </w:rPr>
      </w:pPr>
    </w:p>
    <w:p w14:paraId="02DF7017" w14:textId="77777777" w:rsidR="00F33BFF" w:rsidRPr="00F92CFF" w:rsidRDefault="00F33BFF" w:rsidP="00901A30">
      <w:pPr>
        <w:jc w:val="both"/>
        <w:rPr>
          <w:rFonts w:ascii="Arial Narrow" w:hAnsi="Arial Narrow"/>
        </w:rPr>
      </w:pPr>
    </w:p>
    <w:sectPr w:rsidR="00F33BFF" w:rsidRPr="00F92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50E"/>
    <w:multiLevelType w:val="hybridMultilevel"/>
    <w:tmpl w:val="038A0118"/>
    <w:lvl w:ilvl="0" w:tplc="52D41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CA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9EF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D01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82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A7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EF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8C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A763E9"/>
    <w:multiLevelType w:val="hybridMultilevel"/>
    <w:tmpl w:val="41F484E0"/>
    <w:lvl w:ilvl="0" w:tplc="F104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4F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E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E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C9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D4A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4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14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8F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F911FE"/>
    <w:multiLevelType w:val="hybridMultilevel"/>
    <w:tmpl w:val="D3B8F40A"/>
    <w:lvl w:ilvl="0" w:tplc="E1C4D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2B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2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43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2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0A1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74A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C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44240208">
    <w:abstractNumId w:val="2"/>
  </w:num>
  <w:num w:numId="2" w16cid:durableId="1128861213">
    <w:abstractNumId w:val="0"/>
  </w:num>
  <w:num w:numId="3" w16cid:durableId="148250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30"/>
    <w:rsid w:val="00144BBA"/>
    <w:rsid w:val="001A1B85"/>
    <w:rsid w:val="00211A30"/>
    <w:rsid w:val="00243682"/>
    <w:rsid w:val="002C615C"/>
    <w:rsid w:val="0044625F"/>
    <w:rsid w:val="00447CDD"/>
    <w:rsid w:val="00581506"/>
    <w:rsid w:val="0062600F"/>
    <w:rsid w:val="006318B5"/>
    <w:rsid w:val="006A2382"/>
    <w:rsid w:val="00823BBF"/>
    <w:rsid w:val="008874C0"/>
    <w:rsid w:val="008D05A6"/>
    <w:rsid w:val="00901A30"/>
    <w:rsid w:val="009833FC"/>
    <w:rsid w:val="00A115CB"/>
    <w:rsid w:val="00A5399E"/>
    <w:rsid w:val="00F33BFF"/>
    <w:rsid w:val="00F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9008"/>
  <w15:chartTrackingRefBased/>
  <w15:docId w15:val="{69138AE1-9C50-4D46-B254-CCBA5D5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A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C6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Olivares Juan</dc:creator>
  <cp:keywords/>
  <dc:description/>
  <cp:lastModifiedBy>Juan Carlos Campos Olivares</cp:lastModifiedBy>
  <cp:revision>2</cp:revision>
  <dcterms:created xsi:type="dcterms:W3CDTF">2022-07-29T12:09:00Z</dcterms:created>
  <dcterms:modified xsi:type="dcterms:W3CDTF">2022-07-29T12:09:00Z</dcterms:modified>
</cp:coreProperties>
</file>