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BECAA" w14:textId="77777777" w:rsidR="00106AAF" w:rsidRDefault="00106AAF" w:rsidP="00106AAF">
      <w:pPr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>Estimados/As Jefes de área:</w:t>
      </w:r>
    </w:p>
    <w:p w14:paraId="45331B96" w14:textId="77777777" w:rsidR="00106AAF" w:rsidRDefault="00106AAF" w:rsidP="00106AAF">
      <w:pPr>
        <w:rPr>
          <w:rFonts w:ascii="Century Gothic" w:hAnsi="Century Gothic"/>
          <w:sz w:val="20"/>
          <w:szCs w:val="20"/>
          <w:lang w:val="es-ES"/>
        </w:rPr>
      </w:pPr>
    </w:p>
    <w:p w14:paraId="54B61DA3" w14:textId="77777777" w:rsidR="00106AAF" w:rsidRDefault="00106AAF" w:rsidP="00106AAF">
      <w:pPr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>Junto con saludar, les envío listado de algunos criterios para definir proyectos agrícolas sustentables, con foco específico en resiliencia al cambio climático, huella de carbono y huella hídrica.</w:t>
      </w:r>
    </w:p>
    <w:p w14:paraId="699BCF61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b/>
          <w:bCs/>
          <w:sz w:val="36"/>
          <w:szCs w:val="36"/>
          <w:lang w:val="es-ES"/>
        </w:rPr>
      </w:pPr>
      <w:r>
        <w:rPr>
          <w:rFonts w:ascii="Century Gothic" w:hAnsi="Century Gothic"/>
          <w:b/>
          <w:bCs/>
          <w:sz w:val="36"/>
          <w:szCs w:val="36"/>
          <w:lang w:val="es-ES"/>
        </w:rPr>
        <w:t>1. Criterios de Resiliencia al Cambio Climático</w:t>
      </w:r>
    </w:p>
    <w:p w14:paraId="196F9BED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t xml:space="preserve">Evalúan la capacidad del sistema productivo para </w:t>
      </w:r>
      <w:r>
        <w:rPr>
          <w:rFonts w:ascii="Century Gothic" w:hAnsi="Century Gothic"/>
          <w:b/>
          <w:bCs/>
          <w:sz w:val="21"/>
          <w:szCs w:val="21"/>
          <w:lang w:val="es-ES"/>
        </w:rPr>
        <w:t>adaptarse, resistir y recuperarse</w:t>
      </w:r>
      <w:r>
        <w:rPr>
          <w:rFonts w:ascii="Century Gothic" w:hAnsi="Century Gothic"/>
          <w:sz w:val="21"/>
          <w:szCs w:val="21"/>
          <w:lang w:val="es-ES"/>
        </w:rPr>
        <w:t xml:space="preserve"> frente a eventos climáticos extremos y variabilidad climática.</w:t>
      </w:r>
    </w:p>
    <w:p w14:paraId="69BD84D9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</w:rPr>
      </w:pPr>
      <w:proofErr w:type="spellStart"/>
      <w:r>
        <w:rPr>
          <w:rFonts w:ascii="Century Gothic" w:hAnsi="Century Gothic"/>
          <w:b/>
          <w:bCs/>
          <w:sz w:val="21"/>
          <w:szCs w:val="21"/>
        </w:rPr>
        <w:t>Criterios</w:t>
      </w:r>
      <w:proofErr w:type="spellEnd"/>
      <w:r>
        <w:rPr>
          <w:rFonts w:ascii="Century Gothic" w:hAnsi="Century Gothic"/>
          <w:b/>
          <w:bCs/>
          <w:sz w:val="21"/>
          <w:szCs w:val="21"/>
        </w:rPr>
        <w:t xml:space="preserve"> clave:</w:t>
      </w:r>
    </w:p>
    <w:p w14:paraId="269E6A0D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Uso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sistemas productivos diversificados</w:t>
      </w:r>
      <w:r>
        <w:rPr>
          <w:rFonts w:ascii="Century Gothic" w:eastAsia="Times New Roman" w:hAnsi="Century Gothic"/>
          <w:sz w:val="21"/>
          <w:szCs w:val="21"/>
          <w:lang w:val="es-ES"/>
        </w:rPr>
        <w:t xml:space="preserve"> (policultivos, rotaciones, asociaciones).</w:t>
      </w:r>
    </w:p>
    <w:p w14:paraId="265739CF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Incorporación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variedades adaptadas</w:t>
      </w:r>
      <w:r>
        <w:rPr>
          <w:rFonts w:ascii="Century Gothic" w:eastAsia="Times New Roman" w:hAnsi="Century Gothic"/>
          <w:sz w:val="21"/>
          <w:szCs w:val="21"/>
          <w:lang w:val="es-ES"/>
        </w:rPr>
        <w:t xml:space="preserve"> a sequía, heladas o altas temperaturas.</w:t>
      </w:r>
    </w:p>
    <w:p w14:paraId="7B517FCE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Manejo y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mejoramiento de la salud del suelo</w:t>
      </w:r>
      <w:r>
        <w:rPr>
          <w:rFonts w:ascii="Century Gothic" w:eastAsia="Times New Roman" w:hAnsi="Century Gothic"/>
          <w:sz w:val="21"/>
          <w:szCs w:val="21"/>
          <w:lang w:val="es-ES"/>
        </w:rPr>
        <w:t xml:space="preserve"> (materia orgánica, cobertura vegetal).</w:t>
      </w:r>
    </w:p>
    <w:p w14:paraId="00A0F83A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Implementación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prácticas agroecológicas o de bajo insumo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3A5F7C3F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Infraestructura de adaptación climática (cosecha de aguas lluvia, cortavientos, 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sombreaderos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>).</w:t>
      </w:r>
    </w:p>
    <w:p w14:paraId="7C2E590C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Reducción de dependencia de insumos externos vulnerables al clima.</w:t>
      </w:r>
    </w:p>
    <w:p w14:paraId="191B16B3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Planificación productiva considerando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riesgos climáticos locales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3F4295E3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Capacidad de recuperación productiva post-evento extremo.</w:t>
      </w:r>
    </w:p>
    <w:p w14:paraId="787CFC87" w14:textId="77777777" w:rsidR="00106AAF" w:rsidRDefault="00106AAF" w:rsidP="00106AA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Integración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conocimiento local y saberes campesinos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6DF0C9CA" w14:textId="77777777" w:rsidR="00106AAF" w:rsidRPr="00106AAF" w:rsidRDefault="00106AAF" w:rsidP="00106AAF">
      <w:pPr>
        <w:spacing w:line="300" w:lineRule="atLeast"/>
        <w:rPr>
          <w:rFonts w:ascii="Century Gothic" w:hAnsi="Century Gothic"/>
          <w:sz w:val="21"/>
          <w:szCs w:val="21"/>
          <w:lang w:val="es-ES"/>
        </w:rPr>
      </w:pPr>
    </w:p>
    <w:p w14:paraId="497A493C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b/>
          <w:bCs/>
          <w:sz w:val="36"/>
          <w:szCs w:val="36"/>
          <w:lang w:val="es-ES"/>
        </w:rPr>
      </w:pPr>
      <w:r>
        <w:rPr>
          <w:rFonts w:ascii="Century Gothic" w:hAnsi="Century Gothic"/>
          <w:b/>
          <w:bCs/>
          <w:sz w:val="36"/>
          <w:szCs w:val="36"/>
          <w:lang w:val="es-ES"/>
        </w:rPr>
        <w:t>2. Criterios de Huella de Carbono (Mitigación y Reducción de Emisiones)</w:t>
      </w:r>
    </w:p>
    <w:p w14:paraId="73587090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t xml:space="preserve">Evalúan cuánto contribuye el proyecto a </w:t>
      </w:r>
      <w:r>
        <w:rPr>
          <w:rFonts w:ascii="Century Gothic" w:hAnsi="Century Gothic"/>
          <w:b/>
          <w:bCs/>
          <w:sz w:val="21"/>
          <w:szCs w:val="21"/>
          <w:lang w:val="es-ES"/>
        </w:rPr>
        <w:t>reducir emisiones de gases de efecto invernadero (GEI)</w:t>
      </w:r>
      <w:r>
        <w:rPr>
          <w:rFonts w:ascii="Century Gothic" w:hAnsi="Century Gothic"/>
          <w:sz w:val="21"/>
          <w:szCs w:val="21"/>
          <w:lang w:val="es-ES"/>
        </w:rPr>
        <w:t xml:space="preserve"> o aumentar la captura de carbono.</w:t>
      </w:r>
    </w:p>
    <w:p w14:paraId="22E3487D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</w:rPr>
      </w:pPr>
      <w:proofErr w:type="spellStart"/>
      <w:r>
        <w:rPr>
          <w:rFonts w:ascii="Century Gothic" w:hAnsi="Century Gothic"/>
          <w:b/>
          <w:bCs/>
          <w:sz w:val="21"/>
          <w:szCs w:val="21"/>
        </w:rPr>
        <w:t>Criterios</w:t>
      </w:r>
      <w:proofErr w:type="spellEnd"/>
      <w:r>
        <w:rPr>
          <w:rFonts w:ascii="Century Gothic" w:hAnsi="Century Gothic"/>
          <w:b/>
          <w:bCs/>
          <w:sz w:val="21"/>
          <w:szCs w:val="21"/>
        </w:rPr>
        <w:t xml:space="preserve"> clave:</w:t>
      </w:r>
    </w:p>
    <w:p w14:paraId="0460A6C6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Reducción del uso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fertilizantes sintéticos y agroquímicos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0AEAB8B9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Uso eficiente o sustitución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combustibles fósiles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69BD4CEC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Incorporación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energías renovables</w:t>
      </w:r>
      <w:r>
        <w:rPr>
          <w:rFonts w:ascii="Century Gothic" w:eastAsia="Times New Roman" w:hAnsi="Century Gothic"/>
          <w:sz w:val="21"/>
          <w:szCs w:val="21"/>
          <w:lang w:val="es-ES"/>
        </w:rPr>
        <w:t xml:space="preserve"> (solar, eólica, biodigestores).</w:t>
      </w:r>
    </w:p>
    <w:p w14:paraId="1E3CF106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Prácticas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secuestro de carbono</w:t>
      </w:r>
      <w:r>
        <w:rPr>
          <w:rFonts w:ascii="Century Gothic" w:eastAsia="Times New Roman" w:hAnsi="Century Gothic"/>
          <w:sz w:val="21"/>
          <w:szCs w:val="21"/>
          <w:lang w:val="es-ES"/>
        </w:rPr>
        <w:t xml:space="preserve"> (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agroforestería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>, praderas permanentes).</w:t>
      </w:r>
    </w:p>
    <w:p w14:paraId="22F72D40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Manejo eficiente de residuos agrícolas (compostaje, 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biodigestión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>).</w:t>
      </w:r>
    </w:p>
    <w:p w14:paraId="7F8FC152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Uso de maquinaria eficiente o reducción de labores mecanizadas.</w:t>
      </w:r>
    </w:p>
    <w:p w14:paraId="48F85529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lastRenderedPageBreak/>
        <w:t>Producción local que reduzca distancias de transporte.</w:t>
      </w:r>
    </w:p>
    <w:p w14:paraId="79E7CECC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Sistemas productivos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baja huella energética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4CF55E32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Cálculo o estimación básica de emisiones del sistema productivo.</w:t>
      </w:r>
    </w:p>
    <w:p w14:paraId="7C2B8831" w14:textId="77777777" w:rsidR="00106AAF" w:rsidRDefault="00106AAF" w:rsidP="00106AA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Contribución a sistemas alimentarios de baja emisión.</w:t>
      </w:r>
    </w:p>
    <w:p w14:paraId="2D14AC73" w14:textId="77777777" w:rsidR="00106AAF" w:rsidRPr="00106AAF" w:rsidRDefault="00106AAF" w:rsidP="00106AAF">
      <w:pPr>
        <w:spacing w:line="300" w:lineRule="atLeast"/>
        <w:rPr>
          <w:rFonts w:ascii="Century Gothic" w:hAnsi="Century Gothic"/>
          <w:sz w:val="21"/>
          <w:szCs w:val="21"/>
          <w:lang w:val="es-ES"/>
        </w:rPr>
      </w:pPr>
    </w:p>
    <w:p w14:paraId="0D2879F1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b/>
          <w:bCs/>
          <w:sz w:val="36"/>
          <w:szCs w:val="36"/>
          <w:lang w:val="es-ES"/>
        </w:rPr>
      </w:pPr>
      <w:r>
        <w:rPr>
          <w:rFonts w:ascii="Century Gothic" w:hAnsi="Century Gothic"/>
          <w:b/>
          <w:bCs/>
          <w:sz w:val="36"/>
          <w:szCs w:val="36"/>
          <w:lang w:val="es-ES"/>
        </w:rPr>
        <w:t>3. Criterios de Huella Hídrica (Uso y Gestión Sustentable del Agua)</w:t>
      </w:r>
    </w:p>
    <w:p w14:paraId="64DAD4EF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t xml:space="preserve">Evalúan la </w:t>
      </w:r>
      <w:r>
        <w:rPr>
          <w:rFonts w:ascii="Century Gothic" w:hAnsi="Century Gothic"/>
          <w:b/>
          <w:bCs/>
          <w:sz w:val="21"/>
          <w:szCs w:val="21"/>
          <w:lang w:val="es-ES"/>
        </w:rPr>
        <w:t>eficiencia, responsabilidad y sustentabilidad</w:t>
      </w:r>
      <w:r>
        <w:rPr>
          <w:rFonts w:ascii="Century Gothic" w:hAnsi="Century Gothic"/>
          <w:sz w:val="21"/>
          <w:szCs w:val="21"/>
          <w:lang w:val="es-ES"/>
        </w:rPr>
        <w:t xml:space="preserve"> en el uso del recurso hídrico.</w:t>
      </w:r>
    </w:p>
    <w:p w14:paraId="3A27D27B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</w:rPr>
      </w:pPr>
      <w:proofErr w:type="spellStart"/>
      <w:r>
        <w:rPr>
          <w:rFonts w:ascii="Century Gothic" w:hAnsi="Century Gothic"/>
          <w:b/>
          <w:bCs/>
          <w:sz w:val="21"/>
          <w:szCs w:val="21"/>
        </w:rPr>
        <w:t>Criterios</w:t>
      </w:r>
      <w:proofErr w:type="spellEnd"/>
      <w:r>
        <w:rPr>
          <w:rFonts w:ascii="Century Gothic" w:hAnsi="Century Gothic"/>
          <w:b/>
          <w:bCs/>
          <w:sz w:val="21"/>
          <w:szCs w:val="21"/>
        </w:rPr>
        <w:t xml:space="preserve"> clave:</w:t>
      </w:r>
    </w:p>
    <w:p w14:paraId="24C2839D" w14:textId="77777777" w:rsidR="00106AAF" w:rsidRDefault="00106AAF" w:rsidP="00106A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Captación y almacenamiento de aguas lluvia.</w:t>
      </w:r>
    </w:p>
    <w:p w14:paraId="553FEA16" w14:textId="77777777" w:rsidR="00106AAF" w:rsidRDefault="00106AAF" w:rsidP="00106A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Implementación de prácticas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conservación hídrica en suelo</w:t>
      </w:r>
      <w:r>
        <w:rPr>
          <w:rFonts w:ascii="Century Gothic" w:eastAsia="Times New Roman" w:hAnsi="Century Gothic"/>
          <w:sz w:val="21"/>
          <w:szCs w:val="21"/>
          <w:lang w:val="es-ES"/>
        </w:rPr>
        <w:t xml:space="preserve"> (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mulch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>, cobertura).</w:t>
      </w:r>
    </w:p>
    <w:p w14:paraId="100435D9" w14:textId="77777777" w:rsidR="00106AAF" w:rsidRDefault="00106AAF" w:rsidP="00106A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Selección de cultivos acordes a la disponibilidad hídrica local.</w:t>
      </w:r>
    </w:p>
    <w:p w14:paraId="0C926FDF" w14:textId="77777777" w:rsidR="00106AAF" w:rsidRDefault="00106AAF" w:rsidP="00106A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Reutilización segura de aguas (cuando aplica).</w:t>
      </w:r>
    </w:p>
    <w:p w14:paraId="68DA6DAA" w14:textId="77777777" w:rsidR="00106AAF" w:rsidRDefault="00106AAF" w:rsidP="00106A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Protección de fuentes de agua y zonas de recarga.</w:t>
      </w:r>
    </w:p>
    <w:p w14:paraId="1EAE00AE" w14:textId="77777777" w:rsidR="00106AAF" w:rsidRDefault="00106AAF" w:rsidP="00106A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No afectación negativa a terceros o ecosistemas.</w:t>
      </w:r>
    </w:p>
    <w:p w14:paraId="145CD899" w14:textId="77777777" w:rsidR="00106AAF" w:rsidRDefault="00106AAF" w:rsidP="00106A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Conciencia y gestión comunitaria del recurso hídrico.</w:t>
      </w:r>
    </w:p>
    <w:p w14:paraId="48EE20B3" w14:textId="77777777" w:rsidR="00106AAF" w:rsidRPr="00106AAF" w:rsidRDefault="00106AAF" w:rsidP="00106AAF">
      <w:pPr>
        <w:spacing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b/>
          <w:bCs/>
          <w:sz w:val="36"/>
          <w:szCs w:val="36"/>
          <w:lang w:val="es-ES"/>
        </w:rPr>
        <w:t>4. Criterios Transversales de Sustentabilidad</w:t>
      </w:r>
    </w:p>
    <w:p w14:paraId="726958ED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t>Complementan los tres ejes principales y fortalecen la evaluación integral del proyecto.</w:t>
      </w:r>
    </w:p>
    <w:p w14:paraId="4E857D80" w14:textId="77777777" w:rsidR="00106AAF" w:rsidRDefault="00106AAF" w:rsidP="00106AA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Viabilidad técnica y económica de largo plazo.</w:t>
      </w:r>
    </w:p>
    <w:p w14:paraId="722C65A6" w14:textId="77777777" w:rsidR="00106AAF" w:rsidRDefault="00106AAF" w:rsidP="00106AA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Escalabilidad y 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replicabilidad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 xml:space="preserve"> del modelo.</w:t>
      </w:r>
    </w:p>
    <w:p w14:paraId="2C447C74" w14:textId="77777777" w:rsidR="00106AAF" w:rsidRDefault="00106AAF" w:rsidP="00106AA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Coherencia con el territorio y su vocación productiva.</w:t>
      </w:r>
    </w:p>
    <w:p w14:paraId="5A673E63" w14:textId="77777777" w:rsidR="00106AAF" w:rsidRDefault="00106AAF" w:rsidP="00106AA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Aporte a la seguridad y soberanía alimentaria.</w:t>
      </w:r>
    </w:p>
    <w:p w14:paraId="45D14A69" w14:textId="77777777" w:rsidR="00106AAF" w:rsidRDefault="00106AAF" w:rsidP="00106AA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Enfoque de género, juventud o 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asociatividad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 xml:space="preserve"> (cuando aplica).</w:t>
      </w:r>
    </w:p>
    <w:p w14:paraId="09206DF2" w14:textId="77777777" w:rsidR="00106AAF" w:rsidRDefault="00106AAF" w:rsidP="00106AAF">
      <w:pPr>
        <w:spacing w:before="100" w:beforeAutospacing="1" w:after="100" w:afterAutospacing="1" w:line="300" w:lineRule="atLeast"/>
        <w:ind w:left="720"/>
        <w:rPr>
          <w:rFonts w:ascii="Century Gothic" w:hAnsi="Century Gothic"/>
          <w:sz w:val="21"/>
          <w:szCs w:val="21"/>
          <w:lang w:val="es-ES"/>
        </w:rPr>
      </w:pPr>
    </w:p>
    <w:p w14:paraId="3C26A18D" w14:textId="77777777" w:rsidR="00106AAF" w:rsidRDefault="00106AAF" w:rsidP="00106AAF">
      <w:pPr>
        <w:rPr>
          <w:rFonts w:ascii="Century Gothic" w:hAnsi="Century Gothic"/>
          <w:b/>
          <w:bCs/>
          <w:i/>
          <w:iCs/>
          <w:sz w:val="36"/>
          <w:szCs w:val="36"/>
          <w:u w:val="single"/>
          <w:lang w:val="es-ES"/>
        </w:rPr>
      </w:pPr>
      <w:r>
        <w:rPr>
          <w:rFonts w:ascii="Century Gothic" w:hAnsi="Century Gothic"/>
          <w:b/>
          <w:bCs/>
          <w:i/>
          <w:iCs/>
          <w:sz w:val="36"/>
          <w:szCs w:val="36"/>
          <w:u w:val="single"/>
          <w:lang w:val="es-ES"/>
        </w:rPr>
        <w:t>PECUARIO:</w:t>
      </w:r>
    </w:p>
    <w:p w14:paraId="31106063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b/>
          <w:bCs/>
          <w:sz w:val="36"/>
          <w:szCs w:val="36"/>
          <w:lang w:val="es-ES"/>
        </w:rPr>
      </w:pPr>
      <w:r>
        <w:rPr>
          <w:rFonts w:ascii="Segoe UI" w:hAnsi="Segoe UI" w:cs="Segoe UI"/>
          <w:b/>
          <w:bCs/>
          <w:sz w:val="36"/>
          <w:szCs w:val="36"/>
          <w:lang w:val="es-ES"/>
        </w:rPr>
        <w:t xml:space="preserve">1. </w:t>
      </w:r>
      <w:r>
        <w:rPr>
          <w:rFonts w:ascii="Century Gothic" w:hAnsi="Century Gothic"/>
          <w:b/>
          <w:bCs/>
          <w:sz w:val="36"/>
          <w:szCs w:val="36"/>
          <w:lang w:val="es-ES"/>
        </w:rPr>
        <w:t>Criterios de Resiliencia al Cambio Climático</w:t>
      </w:r>
    </w:p>
    <w:p w14:paraId="5C4E785A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lastRenderedPageBreak/>
        <w:t xml:space="preserve">Evalúan la capacidad del sistema pecuario para </w:t>
      </w:r>
      <w:r>
        <w:rPr>
          <w:rFonts w:ascii="Century Gothic" w:hAnsi="Century Gothic"/>
          <w:b/>
          <w:bCs/>
          <w:sz w:val="21"/>
          <w:szCs w:val="21"/>
          <w:lang w:val="es-ES"/>
        </w:rPr>
        <w:t>adaptarse, resistir y recuperarse</w:t>
      </w:r>
      <w:r>
        <w:rPr>
          <w:rFonts w:ascii="Century Gothic" w:hAnsi="Century Gothic"/>
          <w:sz w:val="21"/>
          <w:szCs w:val="21"/>
          <w:lang w:val="es-ES"/>
        </w:rPr>
        <w:t xml:space="preserve"> frente a sequías, olas de calor, heladas, inundaciones u otros eventos extremos.</w:t>
      </w:r>
    </w:p>
    <w:p w14:paraId="496BEBFD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</w:rPr>
      </w:pPr>
      <w:proofErr w:type="spellStart"/>
      <w:r>
        <w:rPr>
          <w:rFonts w:ascii="Century Gothic" w:hAnsi="Century Gothic"/>
          <w:b/>
          <w:bCs/>
          <w:sz w:val="21"/>
          <w:szCs w:val="21"/>
        </w:rPr>
        <w:t>Criterios</w:t>
      </w:r>
      <w:proofErr w:type="spellEnd"/>
      <w:r>
        <w:rPr>
          <w:rFonts w:ascii="Century Gothic" w:hAnsi="Century Gothic"/>
          <w:b/>
          <w:bCs/>
          <w:sz w:val="21"/>
          <w:szCs w:val="21"/>
        </w:rPr>
        <w:t>:</w:t>
      </w:r>
    </w:p>
    <w:p w14:paraId="4C4913D7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Diversificación del sistema productivo (especies, razas, rubros).</w:t>
      </w:r>
    </w:p>
    <w:p w14:paraId="2A8AEB29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Uso de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razas adaptadas al territorio y al clima local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2E6C4562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Manejo sustentable de praderas (rotación, carga animal ajustada).</w:t>
      </w:r>
    </w:p>
    <w:p w14:paraId="0AAE9101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Capacidad de almacenamiento estratégico de forraje (heno, silo).</w:t>
      </w:r>
    </w:p>
    <w:p w14:paraId="65FD8304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Sistemas 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silvopastoriles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 xml:space="preserve"> o con </w:t>
      </w:r>
      <w:r>
        <w:rPr>
          <w:rFonts w:ascii="Century Gothic" w:eastAsia="Times New Roman" w:hAnsi="Century Gothic"/>
          <w:b/>
          <w:bCs/>
          <w:sz w:val="21"/>
          <w:szCs w:val="21"/>
          <w:lang w:val="es-ES"/>
        </w:rPr>
        <w:t>sombra natural o artificial</w:t>
      </w:r>
      <w:r>
        <w:rPr>
          <w:rFonts w:ascii="Century Gothic" w:eastAsia="Times New Roman" w:hAnsi="Century Gothic"/>
          <w:sz w:val="21"/>
          <w:szCs w:val="21"/>
          <w:lang w:val="es-ES"/>
        </w:rPr>
        <w:t>.</w:t>
      </w:r>
    </w:p>
    <w:p w14:paraId="49981E5F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Infraestructura adaptativa (bebederos seguros, refugios climáticos).</w:t>
      </w:r>
    </w:p>
    <w:p w14:paraId="6BD20E42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Estrategias de manejo ante sequía o estrés térmico animal.</w:t>
      </w:r>
    </w:p>
    <w:p w14:paraId="7479DB75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Reducción de dependencia de insumos externos vulnerables.</w:t>
      </w:r>
    </w:p>
    <w:p w14:paraId="01E4FD7C" w14:textId="77777777" w:rsidR="00106AAF" w:rsidRDefault="00106AAF" w:rsidP="00106AA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Bienestar animal como factor de resiliencia productiva.</w:t>
      </w:r>
    </w:p>
    <w:p w14:paraId="48DD39C4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b/>
          <w:bCs/>
          <w:sz w:val="36"/>
          <w:szCs w:val="36"/>
          <w:lang w:val="es-ES"/>
        </w:rPr>
      </w:pPr>
      <w:r>
        <w:rPr>
          <w:rFonts w:ascii="Century Gothic" w:hAnsi="Century Gothic"/>
          <w:b/>
          <w:bCs/>
          <w:sz w:val="36"/>
          <w:szCs w:val="36"/>
          <w:lang w:val="es-ES"/>
        </w:rPr>
        <w:t>2. Criterios de Huella de Carbono (Emisiones y Captura de GEI)</w:t>
      </w:r>
    </w:p>
    <w:p w14:paraId="69FDE520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t xml:space="preserve">Evalúan la contribución del sistema pecuario a la </w:t>
      </w:r>
      <w:r>
        <w:rPr>
          <w:rFonts w:ascii="Century Gothic" w:hAnsi="Century Gothic"/>
          <w:b/>
          <w:bCs/>
          <w:sz w:val="21"/>
          <w:szCs w:val="21"/>
          <w:lang w:val="es-ES"/>
        </w:rPr>
        <w:t>reducción de emisiones</w:t>
      </w:r>
      <w:r>
        <w:rPr>
          <w:rFonts w:ascii="Century Gothic" w:hAnsi="Century Gothic"/>
          <w:sz w:val="21"/>
          <w:szCs w:val="21"/>
          <w:lang w:val="es-ES"/>
        </w:rPr>
        <w:t xml:space="preserve"> y/o </w:t>
      </w:r>
      <w:r>
        <w:rPr>
          <w:rFonts w:ascii="Century Gothic" w:hAnsi="Century Gothic"/>
          <w:b/>
          <w:bCs/>
          <w:sz w:val="21"/>
          <w:szCs w:val="21"/>
          <w:lang w:val="es-ES"/>
        </w:rPr>
        <w:t>captura de carbono</w:t>
      </w:r>
      <w:r>
        <w:rPr>
          <w:rFonts w:ascii="Century Gothic" w:hAnsi="Century Gothic"/>
          <w:sz w:val="21"/>
          <w:szCs w:val="21"/>
          <w:lang w:val="es-ES"/>
        </w:rPr>
        <w:t>, especialmente metano (CH</w:t>
      </w:r>
      <w:r>
        <w:rPr>
          <w:rFonts w:ascii="Cambria Math" w:hAnsi="Cambria Math"/>
          <w:sz w:val="21"/>
          <w:szCs w:val="21"/>
          <w:lang w:val="es-ES"/>
        </w:rPr>
        <w:t>₄</w:t>
      </w:r>
      <w:r>
        <w:rPr>
          <w:rFonts w:ascii="Century Gothic" w:hAnsi="Century Gothic"/>
          <w:sz w:val="21"/>
          <w:szCs w:val="21"/>
          <w:lang w:val="es-ES"/>
        </w:rPr>
        <w:t>) y óxido nitroso (N</w:t>
      </w:r>
      <w:r>
        <w:rPr>
          <w:rFonts w:ascii="Cambria Math" w:hAnsi="Cambria Math"/>
          <w:sz w:val="21"/>
          <w:szCs w:val="21"/>
          <w:lang w:val="es-ES"/>
        </w:rPr>
        <w:t>₂</w:t>
      </w:r>
      <w:r>
        <w:rPr>
          <w:rFonts w:ascii="Century Gothic" w:hAnsi="Century Gothic"/>
          <w:sz w:val="21"/>
          <w:szCs w:val="21"/>
          <w:lang w:val="es-ES"/>
        </w:rPr>
        <w:t>O).</w:t>
      </w:r>
    </w:p>
    <w:p w14:paraId="4C4BF40F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</w:rPr>
      </w:pPr>
      <w:proofErr w:type="spellStart"/>
      <w:r>
        <w:rPr>
          <w:rFonts w:ascii="Century Gothic" w:hAnsi="Century Gothic"/>
          <w:b/>
          <w:bCs/>
          <w:sz w:val="21"/>
          <w:szCs w:val="21"/>
        </w:rPr>
        <w:t>Criterios</w:t>
      </w:r>
      <w:proofErr w:type="spellEnd"/>
      <w:r>
        <w:rPr>
          <w:rFonts w:ascii="Century Gothic" w:hAnsi="Century Gothic"/>
          <w:b/>
          <w:bCs/>
          <w:sz w:val="21"/>
          <w:szCs w:val="21"/>
        </w:rPr>
        <w:t>:</w:t>
      </w:r>
    </w:p>
    <w:p w14:paraId="18DED1D2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Manejo eficiente de la alimentación para reducir emisiones entéricas.</w:t>
      </w:r>
    </w:p>
    <w:p w14:paraId="37242E1F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Uso de praderas permanentes con capacidad de secuestro de carbono.</w:t>
      </w:r>
    </w:p>
    <w:p w14:paraId="020A2405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Integración de árboles y arbustos forrajeros (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silvopastoreo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>).</w:t>
      </w:r>
    </w:p>
    <w:p w14:paraId="5A14959A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Manejo adecuado de estiércol y purines (compostaje, biodigestores).</w:t>
      </w:r>
    </w:p>
    <w:p w14:paraId="62BC2138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Uso de energías renovables en establos e infraestructura.</w:t>
      </w:r>
    </w:p>
    <w:p w14:paraId="66533DE1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Reducción de pérdidas productivas por sanidad o manejo ineficiente.</w:t>
      </w:r>
    </w:p>
    <w:p w14:paraId="2279C718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Producción local que disminuya huella por transporte.</w:t>
      </w:r>
    </w:p>
    <w:p w14:paraId="34D79BD7" w14:textId="77777777" w:rsidR="00106AAF" w:rsidRDefault="00106AAF" w:rsidP="00106AA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bioseguridad</w:t>
      </w:r>
    </w:p>
    <w:p w14:paraId="4E8262D1" w14:textId="77777777" w:rsidR="00106AAF" w:rsidRDefault="00106AAF" w:rsidP="00106AAF">
      <w:pPr>
        <w:spacing w:line="300" w:lineRule="atLeast"/>
        <w:rPr>
          <w:rFonts w:ascii="Century Gothic" w:hAnsi="Century Gothic"/>
          <w:sz w:val="21"/>
          <w:szCs w:val="21"/>
        </w:rPr>
      </w:pPr>
    </w:p>
    <w:p w14:paraId="7B15D259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b/>
          <w:bCs/>
          <w:sz w:val="36"/>
          <w:szCs w:val="36"/>
          <w:lang w:val="es-ES"/>
        </w:rPr>
      </w:pPr>
      <w:r>
        <w:rPr>
          <w:rFonts w:ascii="Century Gothic" w:hAnsi="Century Gothic"/>
          <w:b/>
          <w:bCs/>
          <w:sz w:val="36"/>
          <w:szCs w:val="36"/>
          <w:lang w:val="es-ES"/>
        </w:rPr>
        <w:t>3. Criterios de Huella Hídrica (Uso Sustentable del Agua)</w:t>
      </w:r>
    </w:p>
    <w:p w14:paraId="0F33AC27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t xml:space="preserve">Evalúan el </w:t>
      </w:r>
      <w:r>
        <w:rPr>
          <w:rFonts w:ascii="Century Gothic" w:hAnsi="Century Gothic"/>
          <w:b/>
          <w:bCs/>
          <w:sz w:val="21"/>
          <w:szCs w:val="21"/>
          <w:lang w:val="es-ES"/>
        </w:rPr>
        <w:t xml:space="preserve">uso eficiente, responsable y </w:t>
      </w:r>
      <w:proofErr w:type="spellStart"/>
      <w:r>
        <w:rPr>
          <w:rFonts w:ascii="Century Gothic" w:hAnsi="Century Gothic"/>
          <w:b/>
          <w:bCs/>
          <w:sz w:val="21"/>
          <w:szCs w:val="21"/>
          <w:lang w:val="es-ES"/>
        </w:rPr>
        <w:t>resiliente</w:t>
      </w:r>
      <w:proofErr w:type="spellEnd"/>
      <w:r>
        <w:rPr>
          <w:rFonts w:ascii="Century Gothic" w:hAnsi="Century Gothic"/>
          <w:sz w:val="21"/>
          <w:szCs w:val="21"/>
          <w:lang w:val="es-ES"/>
        </w:rPr>
        <w:t xml:space="preserve"> del agua en sistemas pecuarios.</w:t>
      </w:r>
    </w:p>
    <w:p w14:paraId="4C60058C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</w:rPr>
      </w:pPr>
      <w:proofErr w:type="spellStart"/>
      <w:r>
        <w:rPr>
          <w:rFonts w:ascii="Century Gothic" w:hAnsi="Century Gothic"/>
          <w:b/>
          <w:bCs/>
          <w:sz w:val="21"/>
          <w:szCs w:val="21"/>
        </w:rPr>
        <w:t>Criterios</w:t>
      </w:r>
      <w:proofErr w:type="spellEnd"/>
      <w:r>
        <w:rPr>
          <w:rFonts w:ascii="Century Gothic" w:hAnsi="Century Gothic"/>
          <w:b/>
          <w:bCs/>
          <w:sz w:val="21"/>
          <w:szCs w:val="21"/>
        </w:rPr>
        <w:t>:</w:t>
      </w:r>
    </w:p>
    <w:p w14:paraId="1AC19A3D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Disponibilidad hídrica acorde a la carga animal.</w:t>
      </w:r>
    </w:p>
    <w:p w14:paraId="1046C97D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lastRenderedPageBreak/>
        <w:t>Uso eficiente del agua de bebida (bebederos adecuados, sin pérdidas).</w:t>
      </w:r>
    </w:p>
    <w:p w14:paraId="06AC8426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Protección de fuentes de agua (vertientes, ríos, pozos).</w:t>
      </w:r>
    </w:p>
    <w:p w14:paraId="23566113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Manejo de praderas que mejore infiltración y retención de humedad.</w:t>
      </w:r>
    </w:p>
    <w:p w14:paraId="43D6E361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Reducción del pisoteo en zonas sensibles o ribereñas.</w:t>
      </w:r>
    </w:p>
    <w:p w14:paraId="25DDD309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Captación y almacenamiento de aguas lluvia (cuando sea viable).</w:t>
      </w:r>
    </w:p>
    <w:p w14:paraId="49F5CF18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Manejo de purines y efluentes sin contaminación hídrica.</w:t>
      </w:r>
    </w:p>
    <w:p w14:paraId="7616A8DA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Ajuste del sistema productivo a la oferta hídrica local.</w:t>
      </w:r>
    </w:p>
    <w:p w14:paraId="5E58AAEE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Prevención de conflictos por uso de agua con otros usuarios.</w:t>
      </w:r>
    </w:p>
    <w:p w14:paraId="0AA2507E" w14:textId="77777777" w:rsidR="00106AAF" w:rsidRDefault="00106AAF" w:rsidP="00106AA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Conciencia hídrica y manejo comunitario del recurso.</w:t>
      </w:r>
    </w:p>
    <w:p w14:paraId="0FF6B80F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b/>
          <w:bCs/>
          <w:sz w:val="36"/>
          <w:szCs w:val="36"/>
          <w:lang w:val="es-ES"/>
        </w:rPr>
      </w:pPr>
      <w:r>
        <w:rPr>
          <w:rFonts w:ascii="Century Gothic" w:hAnsi="Century Gothic"/>
          <w:b/>
          <w:bCs/>
          <w:sz w:val="36"/>
          <w:szCs w:val="36"/>
          <w:lang w:val="es-ES"/>
        </w:rPr>
        <w:t>4. Criterios Transversales de Sustentabilidad Pecuaria</w:t>
      </w:r>
    </w:p>
    <w:p w14:paraId="06FFD977" w14:textId="77777777" w:rsidR="00106AAF" w:rsidRDefault="00106AAF" w:rsidP="00106AAF">
      <w:pPr>
        <w:spacing w:before="100" w:beforeAutospacing="1" w:after="100" w:afterAutospacing="1" w:line="300" w:lineRule="atLeast"/>
        <w:rPr>
          <w:rFonts w:ascii="Century Gothic" w:hAnsi="Century Gothic"/>
          <w:sz w:val="21"/>
          <w:szCs w:val="21"/>
          <w:lang w:val="es-ES"/>
        </w:rPr>
      </w:pPr>
      <w:r>
        <w:rPr>
          <w:rFonts w:ascii="Century Gothic" w:hAnsi="Century Gothic"/>
          <w:sz w:val="21"/>
          <w:szCs w:val="21"/>
          <w:lang w:val="es-ES"/>
        </w:rPr>
        <w:t>Complementan los tres ejes principales y aseguran coherencia técnica, ambiental y social.</w:t>
      </w:r>
    </w:p>
    <w:p w14:paraId="20465EAF" w14:textId="77777777" w:rsidR="00106AAF" w:rsidRDefault="00106AAF" w:rsidP="00106AA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</w:rPr>
      </w:pPr>
      <w:proofErr w:type="spellStart"/>
      <w:r>
        <w:rPr>
          <w:rFonts w:ascii="Century Gothic" w:eastAsia="Times New Roman" w:hAnsi="Century Gothic"/>
          <w:sz w:val="21"/>
          <w:szCs w:val="21"/>
        </w:rPr>
        <w:t>Bienestar</w:t>
      </w:r>
      <w:proofErr w:type="spellEnd"/>
      <w:r>
        <w:rPr>
          <w:rFonts w:ascii="Century Gothic" w:eastAsia="Times New Roman" w:hAnsi="Century Gothic"/>
          <w:sz w:val="21"/>
          <w:szCs w:val="21"/>
        </w:rPr>
        <w:t xml:space="preserve"> animal integral.</w:t>
      </w:r>
    </w:p>
    <w:p w14:paraId="46AB18BF" w14:textId="77777777" w:rsidR="00106AAF" w:rsidRDefault="00106AAF" w:rsidP="00106AA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Viabilidad económica de largo plazo.</w:t>
      </w:r>
    </w:p>
    <w:p w14:paraId="2CE12191" w14:textId="77777777" w:rsidR="00106AAF" w:rsidRDefault="00106AAF" w:rsidP="00106AA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Escalabilidad y 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replicabilidad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 xml:space="preserve"> del sistema.</w:t>
      </w:r>
    </w:p>
    <w:p w14:paraId="53D18AC5" w14:textId="77777777" w:rsidR="00106AAF" w:rsidRDefault="00106AAF" w:rsidP="00106AA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Coherencia con la vocación territorial.</w:t>
      </w:r>
    </w:p>
    <w:p w14:paraId="28C59244" w14:textId="77777777" w:rsidR="00106AAF" w:rsidRDefault="00106AAF" w:rsidP="00106AA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>Contribución a la seguridad alimentaria local.</w:t>
      </w:r>
    </w:p>
    <w:p w14:paraId="3E89075B" w14:textId="77777777" w:rsidR="00106AAF" w:rsidRDefault="00106AAF" w:rsidP="00106AA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/>
          <w:sz w:val="21"/>
          <w:szCs w:val="21"/>
          <w:lang w:val="es-ES"/>
        </w:rPr>
      </w:pPr>
      <w:r>
        <w:rPr>
          <w:rFonts w:ascii="Century Gothic" w:eastAsia="Times New Roman" w:hAnsi="Century Gothic"/>
          <w:sz w:val="21"/>
          <w:szCs w:val="21"/>
          <w:lang w:val="es-ES"/>
        </w:rPr>
        <w:t xml:space="preserve">Enfoque de </w:t>
      </w:r>
      <w:proofErr w:type="spellStart"/>
      <w:r>
        <w:rPr>
          <w:rFonts w:ascii="Century Gothic" w:eastAsia="Times New Roman" w:hAnsi="Century Gothic"/>
          <w:sz w:val="21"/>
          <w:szCs w:val="21"/>
          <w:lang w:val="es-ES"/>
        </w:rPr>
        <w:t>asociatividad</w:t>
      </w:r>
      <w:proofErr w:type="spellEnd"/>
      <w:r>
        <w:rPr>
          <w:rFonts w:ascii="Century Gothic" w:eastAsia="Times New Roman" w:hAnsi="Century Gothic"/>
          <w:sz w:val="21"/>
          <w:szCs w:val="21"/>
          <w:lang w:val="es-ES"/>
        </w:rPr>
        <w:t>, género o juventud (cuando corresponda).</w:t>
      </w:r>
    </w:p>
    <w:p w14:paraId="29EC00EE" w14:textId="77777777" w:rsidR="00DD785F" w:rsidRPr="00106AAF" w:rsidRDefault="00A50794">
      <w:pPr>
        <w:rPr>
          <w:lang w:val="es-ES"/>
        </w:rPr>
      </w:pPr>
      <w:bookmarkStart w:id="0" w:name="_GoBack"/>
      <w:bookmarkEnd w:id="0"/>
    </w:p>
    <w:sectPr w:rsidR="00DD785F" w:rsidRPr="00106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31DE"/>
    <w:multiLevelType w:val="multilevel"/>
    <w:tmpl w:val="9A28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D0D12"/>
    <w:multiLevelType w:val="multilevel"/>
    <w:tmpl w:val="51FA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317CD6"/>
    <w:multiLevelType w:val="multilevel"/>
    <w:tmpl w:val="D840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26551"/>
    <w:multiLevelType w:val="multilevel"/>
    <w:tmpl w:val="5844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15E83"/>
    <w:multiLevelType w:val="multilevel"/>
    <w:tmpl w:val="34D0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F34357"/>
    <w:multiLevelType w:val="multilevel"/>
    <w:tmpl w:val="3670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3445DD"/>
    <w:multiLevelType w:val="multilevel"/>
    <w:tmpl w:val="E1EA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6529BC"/>
    <w:multiLevelType w:val="multilevel"/>
    <w:tmpl w:val="91F6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AF"/>
    <w:rsid w:val="00106AAF"/>
    <w:rsid w:val="00125BD6"/>
    <w:rsid w:val="00A50794"/>
    <w:rsid w:val="00E0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8FBB3"/>
  <w15:chartTrackingRefBased/>
  <w15:docId w15:val="{798A0E7A-3CEF-4EEC-A152-CCBD77E9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AAF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9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2D9EC940F96643B63B06A5078D086C" ma:contentTypeVersion="16" ma:contentTypeDescription="Crear nuevo documento." ma:contentTypeScope="" ma:versionID="3db0befc28ae34c8094121758af95612">
  <xsd:schema xmlns:xsd="http://www.w3.org/2001/XMLSchema" xmlns:xs="http://www.w3.org/2001/XMLSchema" xmlns:p="http://schemas.microsoft.com/office/2006/metadata/properties" xmlns:ns3="c5dbce2d-49dc-4afe-a5b0-d7fb7a901161" xmlns:ns4="1030f0af-99cb-42f1-88fc-acec73331192" targetNamespace="http://schemas.microsoft.com/office/2006/metadata/properties" ma:root="true" ma:fieldsID="f5561c8ade052cc495fbd4ef7f0779e8" ns3:_="" ns4:_="">
    <xsd:import namespace="c5dbce2d-49dc-4afe-a5b0-d7fb7a901161"/>
    <xsd:import namespace="1030f0af-99cb-42f1-88fc-acec733311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ce2d-49dc-4afe-a5b0-d7fb7a9011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f0af-99cb-42f1-88fc-acec73331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0f0af-99cb-42f1-88fc-acec73331192" xsi:nil="true"/>
  </documentManagement>
</p:properties>
</file>

<file path=customXml/itemProps1.xml><?xml version="1.0" encoding="utf-8"?>
<ds:datastoreItem xmlns:ds="http://schemas.openxmlformats.org/officeDocument/2006/customXml" ds:itemID="{1915F243-E65C-4995-9E23-BF9BC5766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ce2d-49dc-4afe-a5b0-d7fb7a901161"/>
    <ds:schemaRef ds:uri="1030f0af-99cb-42f1-88fc-acec73331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0E9BA-0B2A-42E6-B533-95FA0B2F0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F15B6-945B-47D8-A53E-16DC64F44B09}">
  <ds:schemaRefs>
    <ds:schemaRef ds:uri="1030f0af-99cb-42f1-88fc-acec73331192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c5dbce2d-49dc-4afe-a5b0-d7fb7a901161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Barria Alvaro</dc:creator>
  <cp:keywords/>
  <dc:description/>
  <cp:lastModifiedBy>Diaz Barria Alvaro</cp:lastModifiedBy>
  <cp:revision>2</cp:revision>
  <dcterms:created xsi:type="dcterms:W3CDTF">2026-05-07T21:40:00Z</dcterms:created>
  <dcterms:modified xsi:type="dcterms:W3CDTF">2026-05-07T21:40:00Z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0x010100202D9EC940F96643B63B06A5078D086C</vt:lpwstr>
  </property>
</Properties>
</file>